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32" w:rsidRDefault="00022032" w:rsidP="00022032">
      <w:pPr>
        <w:pStyle w:val="a3"/>
        <w:shd w:val="clear" w:color="auto" w:fill="FFFFFF"/>
        <w:rPr>
          <w:rFonts w:ascii="Arial" w:hAnsi="Arial" w:cs="Arial"/>
          <w:sz w:val="19"/>
          <w:szCs w:val="19"/>
        </w:rPr>
      </w:pPr>
      <w:r>
        <w:rPr>
          <w:rFonts w:ascii="Arial" w:hAnsi="Arial" w:cs="Arial"/>
          <w:b/>
          <w:bCs/>
          <w:sz w:val="19"/>
          <w:szCs w:val="19"/>
        </w:rPr>
        <w:t xml:space="preserve">23. БУКСИРОВКА И ЭКСПЛУАТАЦИЯ ТРАНСПОРТНЫХ СОСТАВОВ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23.1. Буксировка должна выполняться механическим транспортным средством без прицепа и с технически исправными сцепляющимися устройствами как у буксирующего транспортного средства, так и у транспортного средства, которое буксируют. </w:t>
      </w:r>
      <w:r>
        <w:rPr>
          <w:rFonts w:ascii="Arial" w:hAnsi="Arial" w:cs="Arial"/>
          <w:sz w:val="19"/>
          <w:szCs w:val="19"/>
        </w:rPr>
        <w:br/>
        <w:t xml:space="preserve">   Запуск двигателя с применением жесткого или гибкого сцепления должен выполняться в соответствии с требованиями этого раздела. </w:t>
      </w:r>
      <w:r>
        <w:rPr>
          <w:rFonts w:ascii="Arial" w:hAnsi="Arial" w:cs="Arial"/>
          <w:sz w:val="19"/>
          <w:szCs w:val="19"/>
        </w:rPr>
        <w:br/>
        <w:t xml:space="preserve">   Разрешается буксирование одного механического транспортного средства только с одним прицепом.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23.2. Буксирование транспортных средств осуществляется: </w:t>
      </w:r>
      <w:r>
        <w:rPr>
          <w:rFonts w:ascii="Arial" w:hAnsi="Arial" w:cs="Arial"/>
          <w:sz w:val="19"/>
          <w:szCs w:val="19"/>
        </w:rPr>
        <w:br/>
        <w:t xml:space="preserve">   а) с применением жесткого или гибкого сцепления; </w:t>
      </w:r>
      <w:r>
        <w:rPr>
          <w:rFonts w:ascii="Arial" w:hAnsi="Arial" w:cs="Arial"/>
          <w:sz w:val="19"/>
          <w:szCs w:val="19"/>
        </w:rPr>
        <w:br/>
        <w:t xml:space="preserve">   б) с частичной погрузкой буксируемого транспортного средства на платформу или на специальное опорное приспособление.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23.3. Жесткое сцепление должно обеспечивать расстояние между транспортными средствами не более чем 4 м, гибкое - в границах 4-6 м. Гибкое сцепление через каждый метр отмечается сигнальными щитками или флажками в соответствии с требованиями </w:t>
      </w:r>
      <w:hyperlink r:id="rId4" w:tgtFrame="_blank" w:history="1">
        <w:r>
          <w:rPr>
            <w:rStyle w:val="a4"/>
            <w:rFonts w:ascii="Arial" w:hAnsi="Arial" w:cs="Arial"/>
            <w:color w:val="003366"/>
            <w:sz w:val="19"/>
            <w:szCs w:val="19"/>
          </w:rPr>
          <w:t>пункта 30.5</w:t>
        </w:r>
      </w:hyperlink>
      <w:r>
        <w:rPr>
          <w:rFonts w:ascii="Arial" w:hAnsi="Arial" w:cs="Arial"/>
          <w:sz w:val="19"/>
          <w:szCs w:val="19"/>
        </w:rPr>
        <w:t xml:space="preserve"> этих Правил.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23.4. В случае буксирования механического транспортного средства на гибком сцеплении в буксировочном транспортном средстве должны действовать и быть исправными рабочая тормозная система и рулевое управление, а на жестком сцеплении - рулевое управление.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23.5. Буксирование механического транспортного средства на жестком или гибком сцеплении должно осуществляться только при условии, что за рулем буксируемого транспортного средства находится водитель (кроме случаев, если конструкция жесткого сцепления обеспечивает буксируемому транспортному средству точное повторение траектории движения транспортного средства, которое буксирует, независимо от величины поворотов).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23.6. Буксирование немеханического транспортного средства должно осуществляться только на жестком сцеплении при условии, что его конструкция обеспечивает буксируемому транспортному средству повторение траектории движения транспортного средства, которое буксирует, независимо от величины поворотов.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23.7. Механическое транспортное средство с неработающим рулевым управлением должно буксироваться соответственно требованиям подпункта "б" пункта 23.2 этих Правил.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23.8. Перед началом буксировки водители механических транспортных средств должны согласовать порядок подачи сигналов, в частности для остановки транспортных средств.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23.9. Во время буксирования на жестком или гибком сцеплении запрещается перевозить пассажиров в буксируемом транспортном средстве (кроме легкового автомобиля) и кузове грузового автомобиля, который буксирует, а в случае буксировки способом частичной погрузки этого средства на платформу или специальное опорное приспособление - во всех транспортных средствах (кроме кабины транспортного средства, которое буксирует).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23.10. Буксирование запрещается: </w:t>
      </w:r>
      <w:r>
        <w:rPr>
          <w:rFonts w:ascii="Arial" w:hAnsi="Arial" w:cs="Arial"/>
          <w:sz w:val="19"/>
          <w:szCs w:val="19"/>
        </w:rPr>
        <w:br/>
        <w:t xml:space="preserve">   а) если фактическая масса буксируемого транспортного средства с неисправной тормозной системой (или из-за ее отсутствия) превышает половину фактической массы транспортного средства, которое буксирует; </w:t>
      </w:r>
      <w:r>
        <w:rPr>
          <w:rFonts w:ascii="Arial" w:hAnsi="Arial" w:cs="Arial"/>
          <w:sz w:val="19"/>
          <w:szCs w:val="19"/>
        </w:rPr>
        <w:br/>
        <w:t xml:space="preserve">   б) на гибком сцеплении во время гололеда; </w:t>
      </w:r>
      <w:r>
        <w:rPr>
          <w:rFonts w:ascii="Arial" w:hAnsi="Arial" w:cs="Arial"/>
          <w:sz w:val="19"/>
          <w:szCs w:val="19"/>
        </w:rPr>
        <w:br/>
        <w:t xml:space="preserve">   в) если общая длина сцепленных транспортных средств превышает 22 м (маршрутных транспортных средств - 30 м); </w:t>
      </w:r>
      <w:r>
        <w:rPr>
          <w:rFonts w:ascii="Arial" w:hAnsi="Arial" w:cs="Arial"/>
          <w:sz w:val="19"/>
          <w:szCs w:val="19"/>
        </w:rPr>
        <w:br/>
        <w:t xml:space="preserve">   г) мотоциклами без бокового прицепа, а также таких мотоциклов, мопедов или велосипедов; </w:t>
      </w:r>
      <w:r>
        <w:rPr>
          <w:rFonts w:ascii="Arial" w:hAnsi="Arial" w:cs="Arial"/>
          <w:sz w:val="19"/>
          <w:szCs w:val="19"/>
        </w:rPr>
        <w:br/>
        <w:t xml:space="preserve">   гг) более одного транспортного средства или транспортным средством с прицепом; </w:t>
      </w:r>
      <w:r>
        <w:rPr>
          <w:rFonts w:ascii="Arial" w:hAnsi="Arial" w:cs="Arial"/>
          <w:sz w:val="19"/>
          <w:szCs w:val="19"/>
        </w:rPr>
        <w:br/>
        <w:t xml:space="preserve">   д) прицепов любого типа автобусами.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23.11. Эксплуатация составов транспортных средств в составе автомобиля, трактора или другого тягача и прицепа разрешается только при условии соответствия прицепа тягачу и выполнение требований относительно их эксплуатации. </w:t>
      </w:r>
    </w:p>
    <w:p w:rsidR="00022032" w:rsidRDefault="00022032" w:rsidP="00022032">
      <w:pPr>
        <w:pStyle w:val="a3"/>
        <w:shd w:val="clear" w:color="auto" w:fill="FFFFFF"/>
        <w:rPr>
          <w:rFonts w:ascii="Arial" w:hAnsi="Arial" w:cs="Arial"/>
          <w:sz w:val="19"/>
          <w:szCs w:val="19"/>
        </w:rPr>
      </w:pPr>
      <w:r>
        <w:rPr>
          <w:rFonts w:ascii="Arial" w:hAnsi="Arial" w:cs="Arial"/>
          <w:sz w:val="19"/>
          <w:szCs w:val="19"/>
        </w:rPr>
        <w:t xml:space="preserve">   23.12. Эксплуатация состава транспортных средств в составе автобуса и прицепа запрещается. </w:t>
      </w:r>
    </w:p>
    <w:p w:rsidR="00AE4468" w:rsidRDefault="00AE4468"/>
    <w:sectPr w:rsidR="00AE4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2032"/>
    <w:rsid w:val="00022032"/>
    <w:rsid w:val="00AE4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0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2032"/>
    <w:rPr>
      <w:b/>
      <w:bCs/>
    </w:rPr>
  </w:style>
</w:styles>
</file>

<file path=word/webSettings.xml><?xml version="1.0" encoding="utf-8"?>
<w:webSettings xmlns:r="http://schemas.openxmlformats.org/officeDocument/2006/relationships" xmlns:w="http://schemas.openxmlformats.org/wordprocessingml/2006/main">
  <w:divs>
    <w:div w:id="2020547875">
      <w:bodyDiv w:val="1"/>
      <w:marLeft w:val="1"/>
      <w:marRight w:val="1"/>
      <w:marTop w:val="0"/>
      <w:marBottom w:val="0"/>
      <w:divBdr>
        <w:top w:val="none" w:sz="0" w:space="0" w:color="auto"/>
        <w:left w:val="none" w:sz="0" w:space="0" w:color="auto"/>
        <w:bottom w:val="none" w:sz="0" w:space="0" w:color="auto"/>
        <w:right w:val="none" w:sz="0" w:space="0" w:color="auto"/>
      </w:divBdr>
      <w:divsChild>
        <w:div w:id="1164668739">
          <w:marLeft w:val="0"/>
          <w:marRight w:val="0"/>
          <w:marTop w:val="0"/>
          <w:marBottom w:val="0"/>
          <w:divBdr>
            <w:top w:val="none" w:sz="0" w:space="0" w:color="auto"/>
            <w:left w:val="none" w:sz="0" w:space="0" w:color="auto"/>
            <w:bottom w:val="none" w:sz="0" w:space="0" w:color="auto"/>
            <w:right w:val="none" w:sz="0" w:space="0" w:color="auto"/>
          </w:divBdr>
          <w:divsChild>
            <w:div w:id="439224139">
              <w:marLeft w:val="0"/>
              <w:marRight w:val="0"/>
              <w:marTop w:val="0"/>
              <w:marBottom w:val="135"/>
              <w:divBdr>
                <w:top w:val="none" w:sz="0" w:space="0" w:color="auto"/>
                <w:left w:val="none" w:sz="0" w:space="0" w:color="auto"/>
                <w:bottom w:val="none" w:sz="0" w:space="0" w:color="auto"/>
                <w:right w:val="none" w:sz="0" w:space="0" w:color="auto"/>
              </w:divBdr>
              <w:divsChild>
                <w:div w:id="596863247">
                  <w:marLeft w:val="2340"/>
                  <w:marRight w:val="3600"/>
                  <w:marTop w:val="0"/>
                  <w:marBottom w:val="0"/>
                  <w:divBdr>
                    <w:top w:val="none" w:sz="0" w:space="0" w:color="auto"/>
                    <w:left w:val="none" w:sz="0" w:space="0" w:color="auto"/>
                    <w:bottom w:val="none" w:sz="0" w:space="0" w:color="auto"/>
                    <w:right w:val="none" w:sz="0" w:space="0" w:color="auto"/>
                  </w:divBdr>
                  <w:divsChild>
                    <w:div w:id="783813977">
                      <w:marLeft w:val="0"/>
                      <w:marRight w:val="0"/>
                      <w:marTop w:val="0"/>
                      <w:marBottom w:val="0"/>
                      <w:divBdr>
                        <w:top w:val="none" w:sz="0" w:space="0" w:color="auto"/>
                        <w:left w:val="none" w:sz="0" w:space="0" w:color="auto"/>
                        <w:bottom w:val="none" w:sz="0" w:space="0" w:color="auto"/>
                        <w:right w:val="none" w:sz="0" w:space="0" w:color="auto"/>
                      </w:divBdr>
                      <w:divsChild>
                        <w:div w:id="779254840">
                          <w:marLeft w:val="0"/>
                          <w:marRight w:val="0"/>
                          <w:marTop w:val="0"/>
                          <w:marBottom w:val="0"/>
                          <w:divBdr>
                            <w:top w:val="none" w:sz="0" w:space="0" w:color="auto"/>
                            <w:left w:val="none" w:sz="0" w:space="0" w:color="auto"/>
                            <w:bottom w:val="none" w:sz="0" w:space="0" w:color="auto"/>
                            <w:right w:val="none" w:sz="0" w:space="0" w:color="auto"/>
                          </w:divBdr>
                          <w:divsChild>
                            <w:div w:id="1714959939">
                              <w:marLeft w:val="0"/>
                              <w:marRight w:val="0"/>
                              <w:marTop w:val="0"/>
                              <w:marBottom w:val="150"/>
                              <w:divBdr>
                                <w:top w:val="none" w:sz="0" w:space="0" w:color="auto"/>
                                <w:left w:val="single" w:sz="6" w:space="0" w:color="909BA2"/>
                                <w:bottom w:val="single" w:sz="6" w:space="0" w:color="909BA2"/>
                                <w:right w:val="single" w:sz="6" w:space="0" w:color="909BA2"/>
                              </w:divBdr>
                              <w:divsChild>
                                <w:div w:id="2111460621">
                                  <w:marLeft w:val="0"/>
                                  <w:marRight w:val="0"/>
                                  <w:marTop w:val="0"/>
                                  <w:marBottom w:val="0"/>
                                  <w:divBdr>
                                    <w:top w:val="none" w:sz="0" w:space="0" w:color="auto"/>
                                    <w:left w:val="none" w:sz="0" w:space="0" w:color="auto"/>
                                    <w:bottom w:val="none" w:sz="0" w:space="0" w:color="auto"/>
                                    <w:right w:val="none" w:sz="0" w:space="0" w:color="auto"/>
                                  </w:divBdr>
                                  <w:divsChild>
                                    <w:div w:id="895504509">
                                      <w:marLeft w:val="0"/>
                                      <w:marRight w:val="0"/>
                                      <w:marTop w:val="0"/>
                                      <w:marBottom w:val="0"/>
                                      <w:divBdr>
                                        <w:top w:val="single" w:sz="6" w:space="0" w:color="909BA2"/>
                                        <w:left w:val="none" w:sz="0" w:space="0" w:color="auto"/>
                                        <w:bottom w:val="none" w:sz="0" w:space="0" w:color="auto"/>
                                        <w:right w:val="none" w:sz="0" w:space="0" w:color="auto"/>
                                      </w:divBdr>
                                      <w:divsChild>
                                        <w:div w:id="1384714903">
                                          <w:marLeft w:val="0"/>
                                          <w:marRight w:val="0"/>
                                          <w:marTop w:val="0"/>
                                          <w:marBottom w:val="0"/>
                                          <w:divBdr>
                                            <w:top w:val="none" w:sz="0" w:space="0" w:color="auto"/>
                                            <w:left w:val="none" w:sz="0" w:space="0" w:color="auto"/>
                                            <w:bottom w:val="none" w:sz="0" w:space="0" w:color="auto"/>
                                            <w:right w:val="none" w:sz="0" w:space="0" w:color="auto"/>
                                          </w:divBdr>
                                          <w:divsChild>
                                            <w:div w:id="13022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to.meta.ua/autolaw/pdd_rus/a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2007-09-04T09:12:00Z</dcterms:created>
  <dcterms:modified xsi:type="dcterms:W3CDTF">2007-09-04T09:12:00Z</dcterms:modified>
</cp:coreProperties>
</file>