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22. ПЕРЕВОЗКА ГРУЗА </w:t>
      </w:r>
    </w:p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22.1. Масса груза, который перевозится, и распределение веса на оси не должны превышать величин, определенных технической характеристикой данного транспортного средства. </w:t>
      </w:r>
    </w:p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22.2. Водитель перед началом движения обязан проверить надежность расположения и крепления груза, а во время движения - контролировать это, чтобы предотвратить его падение, волочение, травмирование сопровождающих лиц или создание препятствий для движения. </w:t>
      </w:r>
    </w:p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22.3. Перевозка груза разрешается при условии, что он: </w:t>
      </w:r>
      <w:r>
        <w:rPr>
          <w:rFonts w:ascii="Arial" w:hAnsi="Arial" w:cs="Arial"/>
          <w:sz w:val="19"/>
          <w:szCs w:val="19"/>
        </w:rPr>
        <w:br/>
        <w:t xml:space="preserve">   а) не подвергает опасности участников дорожного движения; </w:t>
      </w:r>
      <w:r>
        <w:rPr>
          <w:rFonts w:ascii="Arial" w:hAnsi="Arial" w:cs="Arial"/>
          <w:sz w:val="19"/>
          <w:szCs w:val="19"/>
        </w:rPr>
        <w:br/>
        <w:t xml:space="preserve">   б) не нарушает устойчивости транспортного средства и не затрудняет управление им; </w:t>
      </w:r>
      <w:r>
        <w:rPr>
          <w:rFonts w:ascii="Arial" w:hAnsi="Arial" w:cs="Arial"/>
          <w:sz w:val="19"/>
          <w:szCs w:val="19"/>
        </w:rPr>
        <w:br/>
        <w:t xml:space="preserve">   в) не ограничивает водителю обзора; </w:t>
      </w:r>
      <w:r>
        <w:rPr>
          <w:rFonts w:ascii="Arial" w:hAnsi="Arial" w:cs="Arial"/>
          <w:sz w:val="19"/>
          <w:szCs w:val="19"/>
        </w:rPr>
        <w:br/>
        <w:t xml:space="preserve">   г) не закрывает внешние световые приборы, светоотражатели, номерные и опознавательные знаки, а также не препятствует восприятию сигналов, которые подаются рукой; </w:t>
      </w:r>
      <w:r>
        <w:rPr>
          <w:rFonts w:ascii="Arial" w:hAnsi="Arial" w:cs="Arial"/>
          <w:sz w:val="19"/>
          <w:szCs w:val="19"/>
        </w:rPr>
        <w:br/>
        <w:t xml:space="preserve">   гг) не создает шума, не поднимает пыли и не загрязняет проезжую часть и окружающую среду. </w:t>
      </w:r>
    </w:p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22.4. Грузы, которые выступают за габариты транспортного средства спереди или сзади более чем на 1 м, а по ширине превышает 0,4 м от внешнего края переднего или заднего габаритного фонаря, должны быть обозначены соответственно требованиям подпункта "з" </w:t>
      </w:r>
      <w:hyperlink r:id="rId4" w:tgtFrame="_blank" w:history="1">
        <w:r>
          <w:rPr>
            <w:rStyle w:val="a4"/>
            <w:rFonts w:ascii="Arial" w:hAnsi="Arial" w:cs="Arial"/>
            <w:color w:val="003366"/>
            <w:sz w:val="19"/>
            <w:szCs w:val="19"/>
          </w:rPr>
          <w:t>пункта 30.3</w:t>
        </w:r>
      </w:hyperlink>
      <w:r>
        <w:rPr>
          <w:rFonts w:ascii="Arial" w:hAnsi="Arial" w:cs="Arial"/>
          <w:sz w:val="19"/>
          <w:szCs w:val="19"/>
        </w:rPr>
        <w:t xml:space="preserve"> этих Правил. </w:t>
      </w:r>
    </w:p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22.5. По специальным правилам осуществляются перевозка опасных грузов и не обезвреженной тары из-под них, движение транспортных средств и их составов в случае, если хотя один из их габаритов превышает по ширине 2,65 м, по высоте от поверхности дороги - 4 м (для контейнеровозов на установленных маршрутах - 4,35 м), по длине - 22 м (для маршрутных транспортных средств - 25 м), фактическая масса свыше 38 т, нагрузка на одиночную ось - 10 т, сдвоенные оси - 16 т, строенные - 22 т (на установленных Минтрансом и Госавтоинспекцией маршрутах - 40 т, для контейнеровозов на установленных маршрутах - 44 т, нагрузка на одиночную ось - 11 т, сдвоенные оси - 18 т, строенные - 24 т) или если груз выступает за задний габарит транспортного средства более чем на 2 м. </w:t>
      </w:r>
      <w:r>
        <w:rPr>
          <w:rFonts w:ascii="Arial" w:hAnsi="Arial" w:cs="Arial"/>
          <w:sz w:val="19"/>
          <w:szCs w:val="19"/>
        </w:rPr>
        <w:br/>
        <w:t xml:space="preserve">   Оси следует считать сдвоенными или строенными, если расстояние между ними (сопредельными) не превышает 2,5 м. </w:t>
      </w:r>
    </w:p>
    <w:p w:rsidR="00D20801" w:rsidRDefault="00D20801" w:rsidP="00D20801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22.6. Транспортное средство, которое осуществляет перевозку негабаритных, тяжеловесных или опасных грузов, должен двигаться с включенным проблесковым маячком (проблесковыми маячками) оранжевого цвета, ближним светом фар, задними габаритными фонарями, нанесенными светоотражающими элементами, установленными опознавательными знаками, предусмотренными </w:t>
      </w:r>
      <w:hyperlink r:id="rId5" w:tgtFrame="_blank" w:history="1">
        <w:r>
          <w:rPr>
            <w:rStyle w:val="a4"/>
            <w:rFonts w:ascii="Arial" w:hAnsi="Arial" w:cs="Arial"/>
            <w:color w:val="003366"/>
            <w:sz w:val="19"/>
            <w:szCs w:val="19"/>
          </w:rPr>
          <w:t>пунктом 30.3</w:t>
        </w:r>
      </w:hyperlink>
      <w:r>
        <w:rPr>
          <w:rFonts w:ascii="Arial" w:hAnsi="Arial" w:cs="Arial"/>
          <w:sz w:val="19"/>
          <w:szCs w:val="19"/>
        </w:rPr>
        <w:t xml:space="preserve"> этих Правил. </w:t>
      </w:r>
    </w:p>
    <w:p w:rsidR="009106AD" w:rsidRDefault="009106AD"/>
    <w:sectPr w:rsidR="0091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0801"/>
    <w:rsid w:val="009106AD"/>
    <w:rsid w:val="00D2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0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60590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4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625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9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9326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6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.meta.ua/autolaw/pdd_rus/a30/" TargetMode="External"/><Relationship Id="rId4" Type="http://schemas.openxmlformats.org/officeDocument/2006/relationships/hyperlink" Target="http://www.auto.meta.ua/autolaw/pdd_rus/a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2007-09-04T09:11:00Z</dcterms:created>
  <dcterms:modified xsi:type="dcterms:W3CDTF">2007-09-04T09:12:00Z</dcterms:modified>
</cp:coreProperties>
</file>